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关于召开雅安市社会组织联合会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第一次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大会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暨举行相关培训的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按照安排，雅安市社会组织联合会将于3月17日召开第一次会员大会，现将相关安排通知如下：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2016年3月17日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雅安市群团组织社会服务中心二楼会议室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，会期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二、会议内容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选举产生雅安市社会组织联合会会长、副会长，审议通过《雅安市社会组织联合会章程》；对本土社会组织能力建设及规范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灾后重建社会管理服务项目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社会组织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填写参会回执，并于3月16日（周三）12:00前反馈至QQ邮箱：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1529110814@qq.com。（见附件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各社会组织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于3月17日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在雅安市群团组织社会服务中心2楼会议室报到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附件：1.议程安排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2.</w:t>
      </w:r>
      <w:r>
        <w:rPr>
          <w:rFonts w:hint="eastAsia" w:ascii="仿宋_GB2312" w:hAnsi="仿宋_GB2312" w:eastAsia="仿宋_GB2312" w:cs="仿宋_GB2312"/>
          <w:sz w:val="32"/>
          <w:szCs w:val="32"/>
        </w:rPr>
        <w:t>雅安市社会组织联合会52家会员单位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3.</w:t>
      </w:r>
      <w:r>
        <w:rPr>
          <w:rFonts w:hint="eastAsia" w:ascii="仿宋_GB2312" w:hAnsi="仿宋_GB2312" w:eastAsia="仿宋_GB2312" w:cs="仿宋_GB2312"/>
          <w:sz w:val="32"/>
          <w:szCs w:val="32"/>
        </w:rPr>
        <w:t>雅安市灾后重建社会管理服务项目供应商名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4.参会回执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雅安市群团组织社会服务中心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2016年3月15日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议程安排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cs="楷体" w:asciiTheme="minorEastAsia" w:hAnsiTheme="minor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议程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一：召开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雅安市社会组织联合会会员大会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时间安排：</w:t>
      </w:r>
      <w:r>
        <w:rPr>
          <w:rFonts w:hint="eastAsia" w:ascii="仿宋_GB2312" w:hAnsi="仿宋_GB2312" w:eastAsia="仿宋_GB2312" w:cs="仿宋_GB2312"/>
          <w:sz w:val="32"/>
          <w:szCs w:val="32"/>
        </w:rPr>
        <w:t>3月17日上午9:00-10:30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参会人员：雅安市社会组织联合会52家会员单位（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</w:t>
      </w:r>
      <w:r>
        <w:rPr>
          <w:rFonts w:hint="eastAsia" w:ascii="仿宋_GB2312" w:hAnsi="仿宋_GB2312" w:eastAsia="仿宋_GB2312" w:cs="仿宋_GB2312"/>
          <w:sz w:val="32"/>
          <w:szCs w:val="32"/>
        </w:rPr>
        <w:t>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议程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二：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雅安市群团组织社会服务中心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任昌蓉主任致辞并通报中心相关工作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时间安排：</w:t>
      </w:r>
      <w:r>
        <w:rPr>
          <w:rFonts w:hint="eastAsia" w:ascii="仿宋_GB2312" w:hAnsi="仿宋_GB2312" w:eastAsia="仿宋_GB2312" w:cs="仿宋_GB2312"/>
          <w:sz w:val="32"/>
          <w:szCs w:val="32"/>
        </w:rPr>
        <w:t>3月17日上午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参会人员：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雅安市社会组织联合会52家会员单位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2.邀请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市外社会组织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议程三：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雅安本土社会组织能力建设培训第四期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时间安排：</w:t>
      </w:r>
      <w:r>
        <w:rPr>
          <w:rFonts w:hint="eastAsia" w:ascii="仿宋_GB2312" w:hAnsi="仿宋_GB2312" w:eastAsia="仿宋_GB2312" w:cs="仿宋_GB2312"/>
          <w:sz w:val="32"/>
          <w:szCs w:val="32"/>
        </w:rPr>
        <w:t>3月17日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:00-1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培训主题：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机构领袖主题培训第一期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培训支持方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项目资助方：南都公益基金会 壹基金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57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 xml:space="preserve">项目支持方：雅安市群团组织社会服务中心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7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培训主办方：成都市爱有戏社区发展中心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参训人员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承接“我爱我家”社会服务项目的49家机构机构负责人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议程四：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灾后重建社会管理服务项目档案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培训会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时间安排：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2016年3月17日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:00-1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参会人员：各县（区）群团组织社会服务中心相关负责人以及项目负责人；成都紫荆社会工作服务中心相关负责人；灾后重建社会管理服务项目供应商（见附件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雅安市社会组织联合会52家会员单位</w:t>
      </w:r>
    </w:p>
    <w:tbl>
      <w:tblPr>
        <w:tblStyle w:val="5"/>
        <w:tblW w:w="8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180"/>
        <w:gridCol w:w="1660"/>
        <w:gridCol w:w="2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雅安市社会组织联合会会员大会参会名单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_GoBack" w:colFirst="0" w:colLast="2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法定代表人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名山区溪河养老服务中心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何代波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雅安市“我要爱”心理健康教育中心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兰海宁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雅安市国科慧心社会与心理服务中心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史加利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雅安市家庭幸福促进中心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魏其源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雅安市爱心蚂蚁公益服务发展中心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雅安市曙光公益传播服务中心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张亚平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雅安同耕社区发展中心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王杨洋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雅安市爱心联盟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董世权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敏睿博爱公益服务中心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万巧睿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雅安市绿风公益服务中心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杨俊熙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雅安市心连心社会工作服务中心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陈树权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儒扬教育研究服务中心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杨井康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雨城区希望公益服务中心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张德武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芦山县友好家园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任晓梅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雅安市芦山县源众社会工作综合服务中心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杨永军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宝兴县心理志愿者协会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祝申跃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雅安市助子成才公益服务中心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巨敏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雅安市雨城区心和社会服务中心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雅安市新起点职业培训学校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赵德兴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荥经县若水公益志愿者协会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蒲玉红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雅安市青年志愿者协会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谢永刚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雅安市“1+1”关爱老年人服务中心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白凤永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雅安市名山区社会体育指导员协会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蒋国华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雅安市青年创业促进会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钟培基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雅安市应急志愿服务中心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廖加洪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荥经县梦想之益志愿者协会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梁晓玲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芦山县友邻之家公益发展中心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廖国香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雅安市体育舞蹈运动协会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童年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荥经县青年志愿者协会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郑光磊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芦山县牵手公益服务中心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杨晓柯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宝兴县一天公益社会工作服务中心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田彭雪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石棉县社会工作者协会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冉雨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石棉县棉城居家养老服务中心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雅安玄门武术馆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殷羊华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雅安市大学生创就业综合服务联盟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何清澈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芦山县爱之家社会工作服务中心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彭秋燕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雅安市雨城区青年志愿者协会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林琪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雅安市名山区巴布噜幼儿主题教育培训中心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齐程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雅安市民爱社会工作服务中心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干劲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天全县友好家园社会服务中心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彭岚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雅安市思伽职业培训学校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雅安市名山区律动公益社会服务中心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雅安市名山区青年志愿者协会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名山区携手公益社会服务中心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李文军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天全县惠积公益服务中心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杨井康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雅安市新济源社会工作服务中心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胡家琪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雅安义工协会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陈亮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雅安适应心理研究所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廖亚玲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芦山益美黎明社区发展中心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黄小双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雅安市天全县博慈社会工作综合服务中心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郭浩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宝兴县爱心家园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周健国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0" w:type="dxa"/>
          <w:trHeight w:val="570" w:hRule="atLeast"/>
        </w:trPr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雅安市名山区仁爱社会工作综合服务中心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刘廷秋</w:t>
            </w:r>
          </w:p>
        </w:tc>
      </w:tr>
      <w:bookmarkEnd w:id="0"/>
    </w:tbl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雅安市灾后重建社会管理服务项目供应商名单</w:t>
      </w: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雅安社会服务网项目：</w:t>
      </w:r>
      <w:r>
        <w:rPr>
          <w:rFonts w:hint="eastAsia" w:ascii="仿宋_GB2312" w:hAnsi="仿宋_GB2312" w:eastAsia="仿宋_GB2312" w:cs="仿宋_GB2312"/>
          <w:sz w:val="32"/>
          <w:szCs w:val="32"/>
        </w:rPr>
        <w:t>雅安传媒有限责任公司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社工人才培养项目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：四川农业大学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灾区留守学生（儿童）关爱项目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芦山县友好家园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雅安市国科慧心社会与心理服务中心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宝兴县心理志愿者协会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雅安普普教育咨询有限公司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雅安市国科慧心社会与心理服务中心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四川光华社会工作服务中心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雅安市绿风公益服务中心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雅安市大学生创就业综合服务联盟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雅安市名山区社会体育指导员协会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名山区仁爱社会工作综合服务中心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成都高新区美锦社区公益发展中心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天全县博慈社会工作综合服务中</w:t>
      </w:r>
    </w:p>
    <w:p>
      <w:pPr>
        <w:widowControl/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雅安市儒扬教育研究服务中心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芦山县源众社会工作综合服务中心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芦山县爱之家社会工作服务中心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雅安市心连心社会工作服务中心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灾区妇女居家灵活就业项目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spacing w:line="560" w:lineRule="exact"/>
        <w:ind w:left="360"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雅安市众智商务咨询有限公司</w:t>
      </w:r>
    </w:p>
    <w:p>
      <w:pPr>
        <w:widowControl/>
        <w:spacing w:line="560" w:lineRule="exact"/>
        <w:ind w:left="360"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成都文锦手工工艺职业技能培训学校</w:t>
      </w:r>
    </w:p>
    <w:p>
      <w:pPr>
        <w:widowControl/>
        <w:spacing w:line="560" w:lineRule="exact"/>
        <w:ind w:left="360"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雅安市思伽职业培训学校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社会治理示范村（社区）建设项目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陕西仁爱儿童援助中心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雅安市大学生创就业综合服务联盟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四川光华社会工作服务中心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成都高新区益众社区发展中心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雅安市新济源社会工作服务中心</w:t>
      </w:r>
    </w:p>
    <w:p>
      <w:pPr>
        <w:widowControl/>
        <w:spacing w:line="560" w:lineRule="exact"/>
        <w:ind w:left="359" w:leftChars="171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成都恩派非盈利机构</w:t>
      </w: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附件4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tbl>
      <w:tblPr>
        <w:tblStyle w:val="5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1487"/>
        <w:gridCol w:w="874"/>
        <w:gridCol w:w="1299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机构（单位）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87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29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2211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87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74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11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87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7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11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87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7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9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11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德彪钢笔行书字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腾祥嘉丽细黑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全新硬笔隶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创艺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圆趣卡通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特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神工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蚕燕隶书(新春版)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司马彦简行修正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文鼎谁的字体繁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细谭黑繁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4323975">
    <w:nsid w:val="557E0C07"/>
    <w:multiLevelType w:val="multilevel"/>
    <w:tmpl w:val="557E0C07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343239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A0A9F"/>
    <w:rsid w:val="022730E1"/>
    <w:rsid w:val="0A397AE9"/>
    <w:rsid w:val="0A9F5D55"/>
    <w:rsid w:val="175034B1"/>
    <w:rsid w:val="201218E7"/>
    <w:rsid w:val="2CA908E5"/>
    <w:rsid w:val="379B489A"/>
    <w:rsid w:val="3FE06A90"/>
    <w:rsid w:val="411A0A9F"/>
    <w:rsid w:val="4F8235D2"/>
    <w:rsid w:val="5D5E6A0A"/>
    <w:rsid w:val="6F3E57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2016-03-15T09:16:00Z</dcterms:created>
  <dc:creator>LENOVO</dc:creator>
  <cp:lastModifiedBy>LENOVO</cp:lastModifiedBy>
  <cp:lastPrinted>2016-03-15T12:26:26Z</cp:lastPrinted>
  <dcterms:modified xsi:type="dcterms:W3CDTF">2016-03-15T12:39:59Z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